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宋体" w:eastAsia="黑体"/>
          <w:b/>
          <w:kern w:val="0"/>
          <w:sz w:val="24"/>
        </w:rPr>
      </w:pPr>
    </w:p>
    <w:p>
      <w:pPr>
        <w:jc w:val="left"/>
        <w:rPr>
          <w:rFonts w:hint="eastAsia" w:ascii="黑体" w:hAnsi="黑体" w:eastAsia="黑体" w:cs="黑体"/>
          <w:b/>
          <w:kern w:val="0"/>
          <w:sz w:val="24"/>
        </w:rPr>
      </w:pPr>
      <w:r>
        <w:rPr>
          <w:rFonts w:hint="eastAsia" w:ascii="黑体" w:hAnsi="黑体" w:eastAsia="黑体" w:cs="黑体"/>
          <w:b/>
          <w:kern w:val="0"/>
          <w:sz w:val="24"/>
        </w:rPr>
        <w:t>一、项目概况与总体要求</w:t>
      </w:r>
    </w:p>
    <w:p>
      <w:pPr>
        <w:jc w:val="left"/>
        <w:rPr>
          <w:rFonts w:hint="eastAsia" w:ascii="宋体" w:hAnsi="宋体" w:eastAsia="宋体" w:cs="宋体"/>
          <w:kern w:val="0"/>
          <w:sz w:val="24"/>
        </w:rPr>
      </w:pPr>
    </w:p>
    <w:p>
      <w:pPr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（一）项目背景</w:t>
      </w:r>
    </w:p>
    <w:p>
      <w:pPr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（二）建设内容</w:t>
      </w:r>
    </w:p>
    <w:p>
      <w:pPr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（三）建设地点</w:t>
      </w:r>
    </w:p>
    <w:p>
      <w:pPr>
        <w:jc w:val="left"/>
        <w:rPr>
          <w:rFonts w:hint="eastAsia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（四）现场情况</w:t>
      </w:r>
    </w:p>
    <w:p>
      <w:pPr>
        <w:jc w:val="left"/>
        <w:rPr>
          <w:rFonts w:hint="eastAsia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（五）中小企业划分标准所属行业（投标文件《中小企业声明函》中要求填写的“采购文件中明确的所属行业”应与下述行业一致。）</w:t>
      </w:r>
      <w:r>
        <w:rPr>
          <w:rFonts w:hint="eastAsia" w:ascii="宋体" w:hAnsi="宋体" w:cs="宋体"/>
          <w:kern w:val="0"/>
          <w:sz w:val="24"/>
          <w:lang w:val="en-US" w:eastAsia="zh-CN"/>
        </w:rPr>
        <w:t>：</w:t>
      </w:r>
    </w:p>
    <w:p>
      <w:pPr>
        <w:jc w:val="left"/>
        <w:rPr>
          <w:rFonts w:ascii="仿宋" w:hAnsi="宋体" w:eastAsia="仿宋"/>
          <w:kern w:val="0"/>
          <w:sz w:val="24"/>
        </w:rPr>
      </w:pPr>
    </w:p>
    <w:p>
      <w:pPr>
        <w:pStyle w:val="2"/>
        <w:keepNext w:val="0"/>
        <w:keepLines w:val="0"/>
        <w:spacing w:before="0" w:after="0" w:line="240" w:lineRule="auto"/>
        <w:jc w:val="left"/>
        <w:rPr>
          <w:rFonts w:hint="eastAsia" w:ascii="黑体" w:hAnsi="黑体" w:eastAsia="黑体" w:cs="黑体"/>
          <w:bCs w:val="0"/>
          <w:sz w:val="24"/>
          <w:szCs w:val="30"/>
        </w:rPr>
      </w:pPr>
      <w:r>
        <w:rPr>
          <w:rFonts w:hint="eastAsia" w:ascii="黑体" w:hAnsi="黑体" w:eastAsia="黑体" w:cs="黑体"/>
          <w:bCs w:val="0"/>
          <w:sz w:val="24"/>
          <w:szCs w:val="30"/>
        </w:rPr>
        <w:t>二、采购标的需执行的强制标准、规范</w:t>
      </w:r>
    </w:p>
    <w:p>
      <w:pPr>
        <w:pStyle w:val="14"/>
        <w:ind w:firstLine="0" w:firstLineChars="0"/>
        <w:rPr>
          <w:rFonts w:ascii="仿宋" w:hAnsi="宋体" w:eastAsia="仿宋" w:cs="宋体"/>
          <w:bCs/>
          <w:sz w:val="24"/>
          <w:szCs w:val="24"/>
        </w:rPr>
      </w:pPr>
    </w:p>
    <w:p>
      <w:pPr>
        <w:pStyle w:val="14"/>
        <w:ind w:firstLine="0" w:firstLineChars="0"/>
        <w:rPr>
          <w:rFonts w:ascii="仿宋" w:hAnsi="宋体" w:eastAsia="仿宋" w:cs="宋体"/>
          <w:bCs/>
          <w:sz w:val="24"/>
          <w:szCs w:val="24"/>
        </w:rPr>
      </w:pPr>
    </w:p>
    <w:p>
      <w:pPr>
        <w:jc w:val="left"/>
        <w:rPr>
          <w:rFonts w:hint="eastAsia" w:ascii="黑体" w:hAnsi="黑体" w:eastAsia="黑体" w:cs="黑体"/>
          <w:b/>
          <w:kern w:val="0"/>
          <w:sz w:val="24"/>
        </w:rPr>
      </w:pPr>
      <w:r>
        <w:rPr>
          <w:rFonts w:hint="eastAsia" w:ascii="黑体" w:hAnsi="黑体" w:eastAsia="黑体" w:cs="黑体"/>
          <w:b/>
          <w:kern w:val="0"/>
          <w:sz w:val="24"/>
        </w:rPr>
        <w:t>三、工程量清单</w:t>
      </w:r>
    </w:p>
    <w:p>
      <w:pPr>
        <w:ind w:firstLine="240" w:firstLineChars="100"/>
        <w:jc w:val="left"/>
        <w:rPr>
          <w:rFonts w:hint="eastAsia" w:ascii="宋体" w:hAnsi="宋体" w:eastAsia="宋体" w:cs="宋体"/>
          <w:kern w:val="0"/>
          <w:sz w:val="24"/>
        </w:rPr>
      </w:pPr>
      <w:bookmarkStart w:id="0" w:name="_Toc246997084"/>
      <w:bookmarkStart w:id="1" w:name="_Toc247085856"/>
      <w:bookmarkStart w:id="2" w:name="_Toc296602588"/>
      <w:bookmarkStart w:id="3" w:name="_Toc152042555"/>
      <w:bookmarkStart w:id="4" w:name="_Toc144974835"/>
      <w:bookmarkStart w:id="5" w:name="_Toc152045773"/>
      <w:bookmarkStart w:id="6" w:name="_Toc179632790"/>
      <w:bookmarkStart w:id="7" w:name="_Toc246996341"/>
      <w:r>
        <w:rPr>
          <w:rFonts w:hint="eastAsia" w:ascii="宋体" w:hAnsi="宋体" w:eastAsia="宋体" w:cs="宋体"/>
          <w:kern w:val="0"/>
          <w:sz w:val="24"/>
        </w:rPr>
        <w:t>（一）工程量清单说明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>
      <w:pPr>
        <w:ind w:firstLine="36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1、本工程量清单是根据采购文件中包括的、有合同约束力的图纸（如有）以及有关工程量清单的国家标准、行业标准编制，是采购文件的组成部分。一经中标（成交）且签订合同，即成为合同的组成部分。</w:t>
      </w:r>
    </w:p>
    <w:p>
      <w:pPr>
        <w:ind w:firstLine="36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2、本工程量清单应与采购文件中的供应商须知、技术标准和要求及图纸等一起阅读和理解。</w:t>
      </w:r>
    </w:p>
    <w:p>
      <w:pPr>
        <w:ind w:firstLine="36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3、工程量清单标明的工程量作为供应商投标报价的共同基础。</w:t>
      </w:r>
    </w:p>
    <w:p>
      <w:pPr>
        <w:ind w:firstLine="240" w:firstLineChars="100"/>
        <w:rPr>
          <w:rFonts w:hint="eastAsia" w:ascii="宋体" w:hAnsi="宋体" w:eastAsia="宋体" w:cs="宋体"/>
          <w:kern w:val="0"/>
          <w:sz w:val="24"/>
        </w:rPr>
      </w:pPr>
      <w:bookmarkStart w:id="8" w:name="_Toc296602589"/>
      <w:bookmarkStart w:id="9" w:name="_Toc152045774"/>
      <w:bookmarkStart w:id="10" w:name="_Toc246996342"/>
      <w:bookmarkStart w:id="11" w:name="_Toc246997085"/>
      <w:bookmarkStart w:id="12" w:name="_Toc152042556"/>
      <w:bookmarkStart w:id="13" w:name="_Toc179632791"/>
      <w:bookmarkStart w:id="14" w:name="_Toc144974836"/>
      <w:bookmarkStart w:id="15" w:name="_Toc247085857"/>
      <w:r>
        <w:rPr>
          <w:rFonts w:hint="eastAsia" w:ascii="宋体" w:hAnsi="宋体" w:eastAsia="宋体" w:cs="宋体"/>
          <w:kern w:val="0"/>
          <w:sz w:val="24"/>
        </w:rPr>
        <w:t>（二）报价说明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>
      <w:pPr>
        <w:ind w:firstLine="36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1、工程量清单中的每一子目须填入单价或价格，且只允许有一个报价。</w:t>
      </w:r>
    </w:p>
    <w:p>
      <w:pPr>
        <w:ind w:firstLine="36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2、工程量清单中标价的单价或金额，应包括所需的人工费、材料和施工机具使用费、企业管理费、利润以及一定范围内的风险费用等。</w:t>
      </w:r>
    </w:p>
    <w:p>
      <w:pPr>
        <w:ind w:firstLine="36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3、工程量清单中供应商没有填入单价或价格的子目，其费用视为已分摊在工程量清单中其他相关子目的单价或价格之中。</w:t>
      </w:r>
    </w:p>
    <w:p>
      <w:pPr>
        <w:ind w:firstLine="240" w:firstLineChars="10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（三）工程量清单</w:t>
      </w:r>
      <w:r>
        <w:rPr>
          <w:rFonts w:hint="eastAsia" w:ascii="宋体" w:hAnsi="宋体" w:cs="宋体"/>
          <w:kern w:val="0"/>
          <w:sz w:val="24"/>
          <w:lang w:eastAsia="zh-CN"/>
        </w:rPr>
        <w:t>：</w:t>
      </w:r>
      <w:r>
        <w:rPr>
          <w:rFonts w:hint="eastAsia" w:ascii="宋体" w:hAnsi="宋体" w:cs="宋体"/>
          <w:kern w:val="0"/>
          <w:sz w:val="24"/>
          <w:lang w:val="en-US" w:eastAsia="zh-CN"/>
        </w:rPr>
        <w:t>详见附件</w:t>
      </w:r>
      <w:r>
        <w:rPr>
          <w:rFonts w:hint="eastAsia" w:ascii="宋体" w:hAnsi="宋体" w:eastAsia="宋体" w:cs="宋体"/>
          <w:kern w:val="0"/>
          <w:sz w:val="24"/>
        </w:rPr>
        <w:t>。</w:t>
      </w:r>
    </w:p>
    <w:p>
      <w:pPr>
        <w:pStyle w:val="2"/>
        <w:keepNext w:val="0"/>
        <w:keepLines w:val="0"/>
        <w:spacing w:before="0" w:after="0" w:line="240" w:lineRule="auto"/>
        <w:jc w:val="left"/>
        <w:rPr>
          <w:rFonts w:ascii="宋体" w:hAnsi="宋体" w:eastAsia="黑体"/>
          <w:bCs w:val="0"/>
          <w:sz w:val="24"/>
          <w:szCs w:val="30"/>
        </w:rPr>
      </w:pPr>
    </w:p>
    <w:p>
      <w:pPr>
        <w:pStyle w:val="2"/>
        <w:keepNext w:val="0"/>
        <w:keepLines w:val="0"/>
        <w:numPr>
          <w:ilvl w:val="0"/>
          <w:numId w:val="1"/>
        </w:numPr>
        <w:spacing w:before="0" w:after="0" w:line="240" w:lineRule="auto"/>
        <w:jc w:val="left"/>
        <w:rPr>
          <w:rFonts w:hint="eastAsia" w:ascii="宋体" w:hAnsi="宋体" w:eastAsia="宋体" w:cs="宋体"/>
          <w:b/>
          <w:bCs/>
          <w:kern w:val="0"/>
          <w:sz w:val="24"/>
        </w:rPr>
      </w:pPr>
      <w:r>
        <w:rPr>
          <w:rFonts w:hint="eastAsia" w:ascii="黑体" w:hAnsi="黑体" w:eastAsia="黑体" w:cs="黑体"/>
          <w:bCs w:val="0"/>
          <w:sz w:val="24"/>
          <w:szCs w:val="30"/>
        </w:rPr>
        <w:t>商务要求</w:t>
      </w:r>
    </w:p>
    <w:p>
      <w:pPr>
        <w:ind w:firstLine="482" w:firstLineChars="200"/>
        <w:rPr>
          <w:rFonts w:hint="eastAsia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</w:rPr>
        <w:t>说明：</w:t>
      </w:r>
      <w:r>
        <w:rPr>
          <w:rFonts w:hint="eastAsia" w:ascii="宋体" w:hAnsi="宋体" w:eastAsia="宋体" w:cs="宋体"/>
          <w:b/>
          <w:bCs/>
          <w:kern w:val="0"/>
          <w:sz w:val="24"/>
          <w:lang w:val="zh-CN"/>
        </w:rPr>
        <w:t>本部分内容均为实质性条款，供应商的投标必须完全满足或者正偏离，且</w:t>
      </w:r>
      <w:r>
        <w:rPr>
          <w:rFonts w:hint="eastAsia" w:ascii="宋体" w:hAnsi="宋体" w:eastAsia="宋体" w:cs="宋体"/>
          <w:b/>
          <w:bCs/>
          <w:kern w:val="0"/>
          <w:sz w:val="24"/>
        </w:rPr>
        <w:t>应在投标文件《商务条款偏离表》中对本部分所有条款逐条说明响应或偏离情况，否则按照投标无效处理</w:t>
      </w:r>
      <w:r>
        <w:rPr>
          <w:rFonts w:hint="eastAsia" w:ascii="宋体" w:hAnsi="宋体" w:eastAsia="宋体" w:cs="宋体"/>
          <w:kern w:val="0"/>
          <w:sz w:val="24"/>
        </w:rPr>
        <w:t>。</w:t>
      </w: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</w:t>
      </w:r>
    </w:p>
    <w:tbl>
      <w:tblPr>
        <w:tblStyle w:val="7"/>
        <w:tblpPr w:leftFromText="180" w:rightFromText="180" w:vertAnchor="text" w:horzAnchor="page" w:tblpX="1345" w:tblpY="180"/>
        <w:tblOverlap w:val="never"/>
        <w:tblW w:w="940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702"/>
        <w:gridCol w:w="68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序号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/>
              </w:rPr>
              <w:t>商务条款</w:t>
            </w:r>
          </w:p>
        </w:tc>
        <w:tc>
          <w:tcPr>
            <w:tcW w:w="6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/>
              </w:rPr>
              <w:t>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工期</w:t>
            </w:r>
          </w:p>
        </w:tc>
        <w:tc>
          <w:tcPr>
            <w:tcW w:w="6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采购合同签订之日起   天。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质量要求</w:t>
            </w:r>
          </w:p>
        </w:tc>
        <w:tc>
          <w:tcPr>
            <w:tcW w:w="6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验收合格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付款条件（进度和方式）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6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中小企业中标的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（需执行《保障中小企业款项支付条例》【国务院第728令】的相关规定）：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6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非中小企业中标的：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6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本项目合同款通过国库集中支付，采购人按约定的付款时间向长春市财政局提出资金支付申请，则视同采购人已履行了合同付款义务。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jc w:val="both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售后服务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6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（包括质量保修范围和保修期等）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证明材料</w:t>
            </w:r>
          </w:p>
        </w:tc>
        <w:tc>
          <w:tcPr>
            <w:tcW w:w="6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供应商需提供的技术服务证明材料：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强制采购产品认证</w:t>
            </w:r>
          </w:p>
        </w:tc>
        <w:tc>
          <w:tcPr>
            <w:tcW w:w="6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供应商需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具有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下述节能环保产品强制采购认证证书：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…</w:t>
            </w:r>
          </w:p>
        </w:tc>
        <w:tc>
          <w:tcPr>
            <w:tcW w:w="6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</w:tbl>
    <w:p>
      <w:pPr>
        <w:pStyle w:val="2"/>
        <w:keepNext w:val="0"/>
        <w:keepLines w:val="0"/>
        <w:numPr>
          <w:ilvl w:val="0"/>
          <w:numId w:val="0"/>
        </w:numPr>
        <w:spacing w:before="0" w:after="0" w:line="240" w:lineRule="auto"/>
        <w:jc w:val="left"/>
        <w:rPr>
          <w:rFonts w:hint="eastAsia" w:ascii="宋体" w:hAnsi="宋体" w:eastAsia="宋体" w:cs="宋体"/>
          <w:bCs w:val="0"/>
          <w:sz w:val="24"/>
          <w:szCs w:val="30"/>
        </w:rPr>
      </w:pPr>
    </w:p>
    <w:p>
      <w:pPr>
        <w:pStyle w:val="2"/>
        <w:keepNext w:val="0"/>
        <w:keepLines w:val="0"/>
        <w:numPr>
          <w:ilvl w:val="0"/>
          <w:numId w:val="0"/>
        </w:numPr>
        <w:spacing w:before="0" w:after="0" w:line="240" w:lineRule="auto"/>
        <w:jc w:val="left"/>
        <w:rPr>
          <w:rFonts w:hint="eastAsia" w:ascii="黑体" w:hAnsi="黑体" w:eastAsia="黑体" w:cs="黑体"/>
          <w:bCs w:val="0"/>
          <w:sz w:val="24"/>
          <w:szCs w:val="30"/>
        </w:rPr>
      </w:pPr>
      <w:r>
        <w:rPr>
          <w:rFonts w:hint="eastAsia" w:ascii="黑体" w:hAnsi="黑体" w:eastAsia="黑体" w:cs="黑体"/>
          <w:bCs w:val="0"/>
          <w:sz w:val="24"/>
          <w:szCs w:val="30"/>
          <w:lang w:val="en-US" w:eastAsia="zh-CN"/>
        </w:rPr>
        <w:t>五、</w:t>
      </w:r>
      <w:r>
        <w:rPr>
          <w:rFonts w:hint="eastAsia" w:ascii="黑体" w:hAnsi="黑体" w:eastAsia="黑体" w:cs="黑体"/>
          <w:bCs w:val="0"/>
          <w:sz w:val="24"/>
          <w:szCs w:val="30"/>
        </w:rPr>
        <w:t>合同主要条款</w:t>
      </w:r>
    </w:p>
    <w:tbl>
      <w:tblPr>
        <w:tblStyle w:val="7"/>
        <w:tblpPr w:leftFromText="180" w:rightFromText="180" w:vertAnchor="text" w:horzAnchor="page" w:tblpX="1345" w:tblpY="180"/>
        <w:tblOverlap w:val="never"/>
        <w:tblW w:w="94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701"/>
        <w:gridCol w:w="688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序号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内容</w:t>
            </w:r>
          </w:p>
        </w:tc>
        <w:tc>
          <w:tcPr>
            <w:tcW w:w="6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承包方式</w:t>
            </w:r>
          </w:p>
        </w:tc>
        <w:tc>
          <w:tcPr>
            <w:tcW w:w="6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大包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eastAsia="zh-CN"/>
              </w:rPr>
              <w:t>合同类型及定价方式</w:t>
            </w:r>
          </w:p>
        </w:tc>
        <w:tc>
          <w:tcPr>
            <w:tcW w:w="6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固定总价/固定单价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履约保证金数额</w:t>
            </w:r>
          </w:p>
        </w:tc>
        <w:tc>
          <w:tcPr>
            <w:tcW w:w="6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Cs/>
                <w:sz w:val="24"/>
              </w:rPr>
              <w:t>非中小企业中标的：中标金额的</w:t>
            </w:r>
            <w:r>
              <w:rPr>
                <w:rFonts w:hint="eastAsia" w:ascii="宋体" w:hAnsi="宋体" w:cs="宋体"/>
                <w:bCs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bCs/>
                <w:sz w:val="24"/>
              </w:rPr>
              <w:t>%（0-5%）。</w:t>
            </w:r>
          </w:p>
          <w:p>
            <w:pPr>
              <w:widowControl/>
              <w:spacing w:line="480" w:lineRule="auto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Cs/>
                <w:sz w:val="24"/>
              </w:rPr>
              <w:t>中小企业中标的：中标金额的</w:t>
            </w:r>
            <w:r>
              <w:rPr>
                <w:rFonts w:hint="eastAsia" w:ascii="宋体" w:hAnsi="宋体" w:cs="宋体"/>
                <w:bCs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bCs/>
                <w:sz w:val="24"/>
              </w:rPr>
              <w:t>%（0-2%）。</w:t>
            </w:r>
          </w:p>
          <w:p>
            <w:pPr>
              <w:pStyle w:val="3"/>
              <w:tabs>
                <w:tab w:val="left" w:pos="3570"/>
              </w:tabs>
              <w:adjustRightInd w:val="0"/>
              <w:snapToGrid w:val="0"/>
              <w:ind w:firstLine="480" w:firstLineChars="200"/>
              <w:rPr>
                <w:rFonts w:hint="eastAsia" w:ascii="宋体" w:hAnsi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</w:rPr>
              <w:t>中标人交纳履约保证金须在转账凭证备注栏里填写（采购项目+采购项目编号）</w:t>
            </w:r>
          </w:p>
          <w:p>
            <w:pPr>
              <w:pStyle w:val="3"/>
              <w:tabs>
                <w:tab w:val="left" w:pos="3570"/>
              </w:tabs>
              <w:adjustRightInd w:val="0"/>
              <w:snapToGrid w:val="0"/>
              <w:ind w:firstLine="480" w:firstLineChars="200"/>
              <w:rPr>
                <w:rFonts w:hint="eastAsia" w:ascii="宋体" w:hAnsi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</w:rPr>
              <w:t>履约保证金账户</w:t>
            </w:r>
          </w:p>
          <w:p>
            <w:pPr>
              <w:pStyle w:val="3"/>
              <w:tabs>
                <w:tab w:val="left" w:pos="3570"/>
              </w:tabs>
              <w:adjustRightInd w:val="0"/>
              <w:snapToGrid w:val="0"/>
              <w:ind w:firstLine="480" w:firstLineChars="200"/>
              <w:rPr>
                <w:rFonts w:hint="eastAsia" w:ascii="宋体" w:hAnsi="宋体" w:eastAsia="Calibri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b w:val="0"/>
                <w:bCs/>
                <w:sz w:val="24"/>
                <w:szCs w:val="24"/>
              </w:rPr>
              <w:t>开户名：</w:t>
            </w:r>
          </w:p>
          <w:p>
            <w:pPr>
              <w:pStyle w:val="3"/>
              <w:tabs>
                <w:tab w:val="left" w:pos="3570"/>
              </w:tabs>
              <w:adjustRightInd w:val="0"/>
              <w:snapToGrid w:val="0"/>
              <w:ind w:firstLine="480" w:firstLineChars="200"/>
              <w:rPr>
                <w:rFonts w:hint="eastAsia" w:ascii="宋体" w:hAnsi="宋体" w:eastAsia="Calibri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b w:val="0"/>
                <w:bCs/>
                <w:sz w:val="24"/>
                <w:szCs w:val="24"/>
              </w:rPr>
              <w:t>账  号：</w:t>
            </w:r>
          </w:p>
          <w:p>
            <w:pPr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bookmarkStart w:id="16" w:name="_GoBack"/>
            <w:bookmarkEnd w:id="16"/>
            <w:r>
              <w:rPr>
                <w:rFonts w:hint="eastAsia" w:ascii="宋体" w:hAnsi="宋体" w:eastAsia="Calibri" w:cs="宋体"/>
                <w:b w:val="0"/>
                <w:bCs/>
                <w:sz w:val="24"/>
                <w:szCs w:val="24"/>
              </w:rPr>
              <w:t>开户行：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eastAsia="zh-CN"/>
              </w:rPr>
              <w:t>履约验收要求</w:t>
            </w:r>
          </w:p>
        </w:tc>
        <w:tc>
          <w:tcPr>
            <w:tcW w:w="6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（包括履约验收的主体、时间、方式、程序、内容和验收标准等事项）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eastAsia="zh-CN"/>
              </w:rPr>
              <w:t>违约责任与解决争议的方法</w:t>
            </w:r>
          </w:p>
        </w:tc>
        <w:tc>
          <w:tcPr>
            <w:tcW w:w="6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val="zh-CN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…</w:t>
            </w:r>
          </w:p>
        </w:tc>
        <w:tc>
          <w:tcPr>
            <w:tcW w:w="6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</w:tbl>
    <w:p>
      <w:pPr>
        <w:rPr>
          <w:rFonts w:ascii="仿宋_GB2312" w:hAnsi="宋体" w:eastAsia="仿宋"/>
          <w:kern w:val="0"/>
          <w:sz w:val="24"/>
        </w:rPr>
      </w:pPr>
    </w:p>
    <w:p>
      <w:pPr>
        <w:pStyle w:val="2"/>
        <w:keepNext w:val="0"/>
        <w:keepLines w:val="0"/>
        <w:spacing w:before="0" w:after="0" w:line="240" w:lineRule="auto"/>
        <w:jc w:val="left"/>
        <w:rPr>
          <w:rFonts w:hint="eastAsia" w:ascii="宋体" w:hAnsi="宋体" w:eastAsia="黑体"/>
          <w:bCs w:val="0"/>
          <w:sz w:val="24"/>
          <w:szCs w:val="30"/>
        </w:rPr>
      </w:pPr>
    </w:p>
    <w:p>
      <w:pPr>
        <w:pageBreakBefore/>
        <w:jc w:val="center"/>
        <w:rPr>
          <w:rFonts w:hint="eastAsia" w:ascii="宋体" w:hAnsi="宋体" w:eastAsia="宋体" w:cs="宋体"/>
          <w:b/>
          <w:kern w:val="0"/>
          <w:sz w:val="30"/>
        </w:rPr>
      </w:pPr>
      <w:r>
        <w:rPr>
          <w:rFonts w:hint="eastAsia" w:ascii="宋体" w:hAnsi="宋体" w:eastAsia="宋体" w:cs="宋体"/>
          <w:b/>
          <w:kern w:val="0"/>
          <w:sz w:val="30"/>
        </w:rPr>
        <w:t>工程量清单</w:t>
      </w:r>
    </w:p>
    <w:p>
      <w:pPr>
        <w:widowControl/>
        <w:ind w:firstLine="3360"/>
        <w:jc w:val="left"/>
        <w:rPr>
          <w:rFonts w:ascii="仿宋_GB2312" w:hAnsi="宋体" w:eastAsia="仿宋_GB2312"/>
          <w:kern w:val="0"/>
          <w:sz w:val="24"/>
        </w:rPr>
      </w:pPr>
    </w:p>
    <w:tbl>
      <w:tblPr>
        <w:tblStyle w:val="7"/>
        <w:tblW w:w="85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1260"/>
        <w:gridCol w:w="1800"/>
        <w:gridCol w:w="1260"/>
        <w:gridCol w:w="211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2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序号</w:t>
            </w:r>
          </w:p>
        </w:tc>
        <w:tc>
          <w:tcPr>
            <w:tcW w:w="126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项目编码</w:t>
            </w:r>
          </w:p>
        </w:tc>
        <w:tc>
          <w:tcPr>
            <w:tcW w:w="126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项目名称</w:t>
            </w:r>
          </w:p>
        </w:tc>
        <w:tc>
          <w:tcPr>
            <w:tcW w:w="180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项目特征描述</w:t>
            </w:r>
          </w:p>
        </w:tc>
        <w:tc>
          <w:tcPr>
            <w:tcW w:w="126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计量单位</w:t>
            </w:r>
          </w:p>
        </w:tc>
        <w:tc>
          <w:tcPr>
            <w:tcW w:w="211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工程量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2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2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2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2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5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2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6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2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7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2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8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2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9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2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10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2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11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2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12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2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13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2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14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2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15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2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16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2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17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2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18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2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19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2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20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2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8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…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211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</w:tbl>
    <w:p>
      <w:pPr>
        <w:widowControl/>
        <w:jc w:val="center"/>
        <w:rPr>
          <w:rFonts w:hint="eastAsia" w:ascii="黑体" w:hAnsi="黑体" w:eastAsia="黑体" w:cs="黑体"/>
          <w:b/>
          <w:kern w:val="0"/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326378"/>
    <w:multiLevelType w:val="singleLevel"/>
    <w:tmpl w:val="DB32637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2OWZjNzgxZGJkMzNjYmU5MTZhNjVhNDFiM2Q5YzUifQ=="/>
  </w:docVars>
  <w:rsids>
    <w:rsidRoot w:val="00AF554A"/>
    <w:rsid w:val="000E302A"/>
    <w:rsid w:val="00271750"/>
    <w:rsid w:val="00542563"/>
    <w:rsid w:val="005E514D"/>
    <w:rsid w:val="009D5F4A"/>
    <w:rsid w:val="00AF554A"/>
    <w:rsid w:val="00C25B2F"/>
    <w:rsid w:val="03077DB4"/>
    <w:rsid w:val="03DB61FB"/>
    <w:rsid w:val="06443B66"/>
    <w:rsid w:val="07BF4A77"/>
    <w:rsid w:val="0BD437B3"/>
    <w:rsid w:val="0BEB6166"/>
    <w:rsid w:val="0C36354B"/>
    <w:rsid w:val="0D251113"/>
    <w:rsid w:val="0D685A72"/>
    <w:rsid w:val="0F3E54F5"/>
    <w:rsid w:val="14CC4871"/>
    <w:rsid w:val="16532D75"/>
    <w:rsid w:val="1D83491B"/>
    <w:rsid w:val="25457029"/>
    <w:rsid w:val="259C30E5"/>
    <w:rsid w:val="30401A8C"/>
    <w:rsid w:val="304D2F27"/>
    <w:rsid w:val="349C7F7D"/>
    <w:rsid w:val="34AA5EDF"/>
    <w:rsid w:val="34E56CBD"/>
    <w:rsid w:val="3A707558"/>
    <w:rsid w:val="3C4817D3"/>
    <w:rsid w:val="3F1433E2"/>
    <w:rsid w:val="3F756CB8"/>
    <w:rsid w:val="43810BDF"/>
    <w:rsid w:val="43F53F08"/>
    <w:rsid w:val="45B17C27"/>
    <w:rsid w:val="4A5F627D"/>
    <w:rsid w:val="4B9F21FD"/>
    <w:rsid w:val="4D2B66CE"/>
    <w:rsid w:val="56537BF5"/>
    <w:rsid w:val="5B486AC3"/>
    <w:rsid w:val="5CAB1177"/>
    <w:rsid w:val="62E55B52"/>
    <w:rsid w:val="63BA3C1F"/>
    <w:rsid w:val="64140BCB"/>
    <w:rsid w:val="644D6699"/>
    <w:rsid w:val="65EF4695"/>
    <w:rsid w:val="6731481B"/>
    <w:rsid w:val="676934D9"/>
    <w:rsid w:val="6B9A4319"/>
    <w:rsid w:val="6FE27A65"/>
    <w:rsid w:val="73FA7C7D"/>
    <w:rsid w:val="746E2869"/>
    <w:rsid w:val="748D1251"/>
    <w:rsid w:val="763E57F6"/>
    <w:rsid w:val="77356646"/>
    <w:rsid w:val="7BDC2068"/>
    <w:rsid w:val="7C260B11"/>
    <w:rsid w:val="7C525C10"/>
    <w:rsid w:val="7DE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2"/>
    <w:semiHidden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Cambria" w:hAnsi="Cambria" w:cs="宋体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rPr>
      <w:b/>
      <w:sz w:val="30"/>
      <w:szCs w:val="20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8">
    <w:name w:val="Table Grid"/>
    <w:basedOn w:val="7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0"/>
    <w:rPr>
      <w:b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标题 2 Char"/>
    <w:basedOn w:val="9"/>
    <w:link w:val="2"/>
    <w:semiHidden/>
    <w:qFormat/>
    <w:uiPriority w:val="0"/>
    <w:rPr>
      <w:rFonts w:ascii="Cambria" w:hAnsi="Cambria" w:eastAsia="宋体" w:cs="宋体"/>
      <w:b/>
      <w:bCs/>
      <w:sz w:val="32"/>
      <w:szCs w:val="32"/>
    </w:rPr>
  </w:style>
  <w:style w:type="character" w:customStyle="1" w:styleId="13">
    <w:name w:val="列出段落 Char"/>
    <w:link w:val="14"/>
    <w:qFormat/>
    <w:locked/>
    <w:uiPriority w:val="34"/>
    <w:rPr>
      <w:rFonts w:ascii="Calibri" w:hAnsi="Calibri"/>
    </w:rPr>
  </w:style>
  <w:style w:type="paragraph" w:styleId="14">
    <w:name w:val="List Paragraph"/>
    <w:basedOn w:val="1"/>
    <w:link w:val="13"/>
    <w:qFormat/>
    <w:uiPriority w:val="34"/>
    <w:pPr>
      <w:ind w:firstLine="420" w:firstLineChars="200"/>
    </w:pPr>
    <w:rPr>
      <w:rFonts w:ascii="Calibri" w:hAnsi="Calibri" w:eastAsiaTheme="minorEastAsia" w:cstheme="minorBidi"/>
      <w:szCs w:val="22"/>
    </w:rPr>
  </w:style>
  <w:style w:type="character" w:customStyle="1" w:styleId="15">
    <w:name w:val="页眉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Char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957</Words>
  <Characters>976</Characters>
  <Lines>43</Lines>
  <Paragraphs>12</Paragraphs>
  <TotalTime>0</TotalTime>
  <ScaleCrop>false</ScaleCrop>
  <LinksUpToDate>false</LinksUpToDate>
  <CharactersWithSpaces>986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2018-11-14T03:34:00Z</dcterms:created>
  <dc:creator>Administrator</dc:creator>
  <cp:lastModifiedBy>a</cp:lastModifiedBy>
  <dcterms:modified xsi:type="dcterms:W3CDTF">2022-09-22T02:33:30Z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EC10A629C63241CA8A3BB357D86A0801</vt:lpwstr>
  </property>
</Properties>
</file>