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147A7">
      <w:pPr>
        <w:keepNext w:val="0"/>
        <w:keepLines w:val="0"/>
        <w:widowControl/>
        <w:suppressLineNumbers w:val="0"/>
        <w:autoSpaceDE w:val="0"/>
        <w:autoSpaceDN/>
        <w:spacing w:before="0" w:beforeAutospacing="1" w:after="0" w:afterAutospacing="1" w:line="740" w:lineRule="atLeast"/>
        <w:ind w:left="0" w:right="0"/>
        <w:jc w:val="center"/>
      </w:pPr>
      <w:r>
        <w:rPr>
          <w:rFonts w:ascii="方正小标宋简体" w:hAnsi="方正小标宋简体" w:eastAsia="方正小标宋简体" w:cs="方正小标宋简体"/>
          <w:kern w:val="0"/>
          <w:sz w:val="44"/>
          <w:szCs w:val="44"/>
          <w:lang w:val="en-US" w:eastAsia="zh-CN" w:bidi="ar"/>
        </w:rPr>
        <w:t>关于土地使用权和矿业权出让、国有资产交易在一体化平台实行全程电子化的通知</w:t>
      </w:r>
    </w:p>
    <w:p w14:paraId="0DCA09AB">
      <w:pPr>
        <w:keepNext w:val="0"/>
        <w:keepLines w:val="0"/>
        <w:widowControl/>
        <w:suppressLineNumbers w:val="0"/>
        <w:autoSpaceDE w:val="0"/>
        <w:autoSpaceDN/>
        <w:spacing w:before="0" w:beforeAutospacing="1" w:after="0" w:afterAutospacing="1" w:line="600" w:lineRule="atLeast"/>
        <w:ind w:left="0" w:right="0"/>
        <w:jc w:val="center"/>
      </w:pPr>
      <w:r>
        <w:rPr>
          <w:rFonts w:ascii="仿宋_GB2312" w:hAnsi="方正小标宋简体" w:eastAsia="仿宋_GB2312" w:cs="仿宋_GB2312"/>
          <w:kern w:val="0"/>
          <w:sz w:val="32"/>
          <w:szCs w:val="32"/>
          <w:lang w:val="en-US" w:eastAsia="zh-CN" w:bidi="ar"/>
        </w:rPr>
        <w:t>吉政数联</w:t>
      </w:r>
      <w:r>
        <w:rPr>
          <w:rFonts w:hint="default" w:ascii="仿宋_GB2312" w:hAnsi="方正小标宋简体" w:eastAsia="仿宋_GB2312" w:cs="仿宋_GB2312"/>
          <w:kern w:val="0"/>
          <w:sz w:val="32"/>
          <w:szCs w:val="32"/>
          <w:lang w:val="en-US" w:eastAsia="zh-CN" w:bidi="ar"/>
        </w:rPr>
        <w:t>〔2023〕9号</w:t>
      </w:r>
    </w:p>
    <w:p w14:paraId="0DC7D0E8">
      <w:pPr>
        <w:keepNext w:val="0"/>
        <w:keepLines w:val="0"/>
        <w:widowControl/>
        <w:suppressLineNumbers w:val="0"/>
        <w:autoSpaceDE w:val="0"/>
        <w:autoSpaceDN/>
        <w:spacing w:before="0" w:beforeAutospacing="1" w:after="0" w:afterAutospacing="1" w:line="600" w:lineRule="atLeast"/>
        <w:ind w:left="0" w:right="0"/>
        <w:jc w:val="center"/>
      </w:pPr>
      <w:r>
        <w:rPr>
          <w:rFonts w:hint="default" w:ascii="仿宋_GB2312" w:hAnsi="方正小标宋简体" w:eastAsia="仿宋_GB2312" w:cs="仿宋_GB2312"/>
          <w:kern w:val="0"/>
          <w:sz w:val="32"/>
          <w:szCs w:val="32"/>
          <w:lang w:val="en-US" w:eastAsia="zh-CN" w:bidi="ar"/>
        </w:rPr>
        <w:t> </w:t>
      </w:r>
    </w:p>
    <w:p w14:paraId="10E0AD8C">
      <w:pPr>
        <w:keepNext w:val="0"/>
        <w:keepLines w:val="0"/>
        <w:widowControl/>
        <w:suppressLineNumbers w:val="0"/>
        <w:autoSpaceDE w:val="0"/>
        <w:autoSpaceDN/>
        <w:spacing w:before="0" w:beforeAutospacing="1" w:after="0" w:afterAutospacing="1" w:line="580" w:lineRule="atLeast"/>
        <w:ind w:left="0" w:right="0"/>
        <w:jc w:val="both"/>
      </w:pPr>
      <w:r>
        <w:rPr>
          <w:rFonts w:hint="default" w:ascii="仿宋_GB2312" w:hAnsi="方正小标宋简体" w:eastAsia="仿宋_GB2312" w:cs="仿宋_GB2312"/>
          <w:kern w:val="0"/>
          <w:sz w:val="32"/>
          <w:szCs w:val="32"/>
          <w:lang w:val="en-US" w:eastAsia="zh-CN" w:bidi="ar"/>
        </w:rPr>
        <w:t>各市（州）、长白山管委会、各县（市）政务服务和数字化建设管理局、财政局、自然资源局、国有资产监督管理机构，各公共资源交易运行服务机构：</w:t>
      </w:r>
    </w:p>
    <w:p w14:paraId="5E353A5B">
      <w:pPr>
        <w:keepNext w:val="0"/>
        <w:keepLines w:val="0"/>
        <w:widowControl/>
        <w:suppressLineNumbers w:val="0"/>
        <w:autoSpaceDE w:val="0"/>
        <w:autoSpaceDN/>
        <w:spacing w:before="0" w:beforeAutospacing="1" w:after="0" w:afterAutospacing="1" w:line="580" w:lineRule="atLeast"/>
        <w:ind w:left="0" w:right="0" w:firstLine="640"/>
        <w:jc w:val="both"/>
      </w:pPr>
      <w:r>
        <w:rPr>
          <w:rFonts w:hint="default" w:ascii="仿宋_GB2312" w:hAnsi="方正小标宋简体" w:eastAsia="仿宋_GB2312" w:cs="仿宋_GB2312"/>
          <w:kern w:val="0"/>
          <w:sz w:val="32"/>
          <w:szCs w:val="32"/>
          <w:lang w:val="en-US" w:eastAsia="zh-CN" w:bidi="ar"/>
        </w:rPr>
        <w:t>按照全省公共资源交易一体化平台全面运行工作安排，经省政务服务和数字化局、省财政厅、省自然资源厅、省国资委共同研究，决定在全省土地使用权和矿业权出让、国有资产交易领域实行全程电子化。现将有关工作事项通知如下：</w:t>
      </w:r>
    </w:p>
    <w:p w14:paraId="4E628AC8">
      <w:pPr>
        <w:keepNext w:val="0"/>
        <w:keepLines w:val="0"/>
        <w:widowControl/>
        <w:suppressLineNumbers w:val="0"/>
        <w:autoSpaceDE w:val="0"/>
        <w:autoSpaceDN/>
        <w:spacing w:before="0" w:beforeAutospacing="1" w:after="0" w:afterAutospacing="1" w:line="600" w:lineRule="atLeast"/>
        <w:ind w:left="0" w:right="0" w:firstLine="640"/>
        <w:jc w:val="both"/>
      </w:pPr>
      <w:r>
        <w:rPr>
          <w:rFonts w:ascii="黑体" w:hAnsi="宋体" w:eastAsia="黑体" w:cs="黑体"/>
          <w:kern w:val="0"/>
          <w:sz w:val="32"/>
          <w:szCs w:val="32"/>
          <w:lang w:val="en-US" w:eastAsia="zh-CN" w:bidi="ar"/>
        </w:rPr>
        <w:t>一、全程电子化交易方式及时间安排</w:t>
      </w:r>
    </w:p>
    <w:p w14:paraId="0E50EA87">
      <w:pPr>
        <w:keepNext w:val="0"/>
        <w:keepLines w:val="0"/>
        <w:widowControl/>
        <w:suppressLineNumbers w:val="0"/>
        <w:autoSpaceDE w:val="0"/>
        <w:autoSpaceDN/>
        <w:spacing w:before="0" w:beforeAutospacing="1" w:after="0" w:afterAutospacing="1" w:line="560" w:lineRule="atLeast"/>
        <w:ind w:left="0" w:right="0" w:firstLine="640"/>
        <w:jc w:val="both"/>
      </w:pPr>
      <w:r>
        <w:rPr>
          <w:rFonts w:ascii="楷体_GB2312" w:hAnsi="方正小标宋简体" w:eastAsia="楷体_GB2312" w:cs="楷体_GB2312"/>
          <w:kern w:val="0"/>
          <w:sz w:val="32"/>
          <w:szCs w:val="32"/>
          <w:lang w:val="en-US" w:eastAsia="zh-CN" w:bidi="ar"/>
        </w:rPr>
        <w:t>（一）交易方式。</w:t>
      </w:r>
      <w:r>
        <w:rPr>
          <w:rFonts w:hint="default" w:ascii="仿宋_GB2312" w:hAnsi="方正小标宋简体" w:eastAsia="仿宋_GB2312" w:cs="仿宋_GB2312"/>
          <w:kern w:val="0"/>
          <w:sz w:val="32"/>
          <w:szCs w:val="32"/>
          <w:lang w:val="en-US" w:eastAsia="zh-CN" w:bidi="ar"/>
        </w:rPr>
        <w:t>在全省公共资源交易一体化平台采用拍卖、挂牌方式出让国有建设用地使用权和矿业权，采用挂牌方式实行国有资产交易。</w:t>
      </w:r>
    </w:p>
    <w:p w14:paraId="213A97A6">
      <w:pPr>
        <w:keepNext w:val="0"/>
        <w:keepLines w:val="0"/>
        <w:widowControl/>
        <w:suppressLineNumbers w:val="0"/>
        <w:autoSpaceDE w:val="0"/>
        <w:autoSpaceDN/>
        <w:spacing w:before="0" w:beforeAutospacing="1" w:after="0" w:afterAutospacing="1" w:line="560" w:lineRule="atLeast"/>
        <w:ind w:left="0" w:right="0" w:firstLine="640"/>
        <w:jc w:val="both"/>
      </w:pPr>
      <w:r>
        <w:rPr>
          <w:rFonts w:hint="default" w:ascii="楷体_GB2312" w:hAnsi="方正小标宋简体" w:eastAsia="楷体_GB2312" w:cs="楷体_GB2312"/>
          <w:kern w:val="0"/>
          <w:sz w:val="32"/>
          <w:szCs w:val="32"/>
          <w:lang w:val="en-US" w:eastAsia="zh-CN" w:bidi="ar"/>
        </w:rPr>
        <w:t>（二）时间安排。</w:t>
      </w:r>
      <w:r>
        <w:rPr>
          <w:rFonts w:hint="default" w:ascii="仿宋_GB2312" w:hAnsi="方正小标宋简体" w:eastAsia="仿宋_GB2312" w:cs="仿宋_GB2312"/>
          <w:kern w:val="0"/>
          <w:sz w:val="32"/>
          <w:szCs w:val="32"/>
          <w:lang w:val="en-US" w:eastAsia="zh-CN" w:bidi="ar"/>
        </w:rPr>
        <w:t>为积极稳妥推进土地使用权和矿业权出让、国有资产交易全程电子化，在试运行基础上推动全省全面运行。2023年9月28日—10月20日在省级公共资源交易平台、长春市公共资源交易平台试运行。从2023年10月21日起，在全省全面运行。</w:t>
      </w:r>
    </w:p>
    <w:p w14:paraId="53C048C7">
      <w:pPr>
        <w:keepNext w:val="0"/>
        <w:keepLines w:val="0"/>
        <w:widowControl/>
        <w:suppressLineNumbers w:val="0"/>
        <w:autoSpaceDE w:val="0"/>
        <w:autoSpaceDN/>
        <w:spacing w:before="0" w:beforeAutospacing="1" w:after="0" w:afterAutospacing="1" w:line="560" w:lineRule="atLeast"/>
        <w:ind w:left="0" w:right="0" w:firstLine="640"/>
        <w:jc w:val="both"/>
      </w:pPr>
      <w:r>
        <w:rPr>
          <w:rFonts w:hint="eastAsia" w:ascii="黑体" w:hAnsi="宋体" w:eastAsia="黑体" w:cs="黑体"/>
          <w:kern w:val="0"/>
          <w:sz w:val="32"/>
          <w:szCs w:val="32"/>
          <w:lang w:val="en-US" w:eastAsia="zh-CN" w:bidi="ar"/>
        </w:rPr>
        <w:t>二、全程电子化交易原则</w:t>
      </w:r>
    </w:p>
    <w:p w14:paraId="18D39B81">
      <w:pPr>
        <w:keepNext w:val="0"/>
        <w:keepLines w:val="0"/>
        <w:widowControl/>
        <w:suppressLineNumbers w:val="0"/>
        <w:autoSpaceDE w:val="0"/>
        <w:autoSpaceDN/>
        <w:spacing w:before="0" w:beforeAutospacing="1" w:after="0" w:afterAutospacing="1" w:line="560" w:lineRule="atLeast"/>
        <w:ind w:left="0" w:right="0" w:firstLine="640"/>
        <w:jc w:val="both"/>
      </w:pPr>
      <w:r>
        <w:rPr>
          <w:rFonts w:hint="default" w:ascii="仿宋_GB2312" w:hAnsi="方正小标宋简体" w:eastAsia="仿宋_GB2312" w:cs="仿宋_GB2312"/>
          <w:kern w:val="0"/>
          <w:sz w:val="32"/>
          <w:szCs w:val="32"/>
          <w:lang w:val="en-US" w:eastAsia="zh-CN" w:bidi="ar"/>
        </w:rPr>
        <w:t>按照国家确定的事权管理要求，全省土地使用权和矿业权出让、国有资产交易实行属地交易原则，在属地公共资源交易平台及其确定场所开展交易活动，实现应进必进。</w:t>
      </w:r>
    </w:p>
    <w:p w14:paraId="45181A50">
      <w:pPr>
        <w:keepNext w:val="0"/>
        <w:keepLines w:val="0"/>
        <w:widowControl/>
        <w:suppressLineNumbers w:val="0"/>
        <w:autoSpaceDE w:val="0"/>
        <w:autoSpaceDN/>
        <w:spacing w:before="0" w:beforeAutospacing="1" w:after="0" w:afterAutospacing="1" w:line="560" w:lineRule="atLeast"/>
        <w:ind w:left="0" w:right="0" w:firstLine="640"/>
        <w:jc w:val="both"/>
      </w:pPr>
      <w:r>
        <w:rPr>
          <w:rFonts w:hint="default" w:ascii="仿宋_GB2312" w:hAnsi="方正小标宋简体" w:eastAsia="仿宋_GB2312" w:cs="仿宋_GB2312"/>
          <w:kern w:val="0"/>
          <w:sz w:val="32"/>
          <w:szCs w:val="32"/>
          <w:lang w:val="en-US" w:eastAsia="zh-CN" w:bidi="ar"/>
        </w:rPr>
        <w:t>按照《企业国有资产交易监督管理办法》（国务院国资委32号令）、《企业国有产权交易操作规则》（国资发产权〔2009〕120号）、《关于企业国有资产交易流转有关事项的通知》（国资发产权规〔2022〕39号）要求，省国资系统企业国有资产交易按其规定规范实施，采取信息化对接方式纳入全省公共资源交易一体化平台，实现全程电子化。</w:t>
      </w:r>
    </w:p>
    <w:p w14:paraId="0B474EBC">
      <w:pPr>
        <w:keepNext w:val="0"/>
        <w:keepLines w:val="0"/>
        <w:widowControl/>
        <w:suppressLineNumbers w:val="0"/>
        <w:autoSpaceDE w:val="0"/>
        <w:autoSpaceDN/>
        <w:spacing w:before="0" w:beforeAutospacing="1" w:after="0" w:afterAutospacing="1" w:line="560" w:lineRule="atLeast"/>
        <w:ind w:left="0" w:right="0" w:firstLine="640"/>
        <w:jc w:val="both"/>
      </w:pPr>
      <w:r>
        <w:rPr>
          <w:rFonts w:hint="default" w:ascii="仿宋_GB2312" w:hAnsi="方正小标宋简体" w:eastAsia="仿宋_GB2312" w:cs="仿宋_GB2312"/>
          <w:kern w:val="0"/>
          <w:sz w:val="32"/>
          <w:szCs w:val="32"/>
          <w:lang w:val="en-US" w:eastAsia="zh-CN" w:bidi="ar"/>
        </w:rPr>
        <w:t>从本《通知》发布之日起，在长春市公共资源交易平台开展的省级行政事业性国有资产以市场化方式出售、出租业务回归吉林省省级公共资源交易平台开展交易活动。</w:t>
      </w:r>
    </w:p>
    <w:p w14:paraId="0BA2E9C4">
      <w:pPr>
        <w:keepNext w:val="0"/>
        <w:keepLines w:val="0"/>
        <w:widowControl/>
        <w:suppressLineNumbers w:val="0"/>
        <w:autoSpaceDE w:val="0"/>
        <w:autoSpaceDN/>
        <w:spacing w:before="0" w:beforeAutospacing="1" w:after="0" w:afterAutospacing="1" w:line="560" w:lineRule="atLeast"/>
        <w:ind w:left="0" w:right="0" w:firstLine="640"/>
        <w:jc w:val="both"/>
      </w:pPr>
      <w:r>
        <w:rPr>
          <w:rFonts w:hint="eastAsia" w:ascii="黑体" w:hAnsi="宋体" w:eastAsia="黑体" w:cs="黑体"/>
          <w:kern w:val="0"/>
          <w:sz w:val="32"/>
          <w:szCs w:val="32"/>
          <w:lang w:val="en-US" w:eastAsia="zh-CN" w:bidi="ar"/>
        </w:rPr>
        <w:t>三、全程电子化交易规程</w:t>
      </w:r>
    </w:p>
    <w:p w14:paraId="6B4948EE">
      <w:pPr>
        <w:keepNext w:val="0"/>
        <w:keepLines w:val="0"/>
        <w:widowControl/>
        <w:suppressLineNumbers w:val="0"/>
        <w:autoSpaceDE w:val="0"/>
        <w:autoSpaceDN/>
        <w:spacing w:before="0" w:beforeAutospacing="1" w:after="0" w:afterAutospacing="1" w:line="560" w:lineRule="atLeast"/>
        <w:ind w:left="0" w:right="0" w:firstLine="640"/>
        <w:jc w:val="both"/>
      </w:pPr>
      <w:r>
        <w:rPr>
          <w:rFonts w:hint="default" w:ascii="仿宋_GB2312" w:hAnsi="方正小标宋简体" w:eastAsia="仿宋_GB2312" w:cs="仿宋_GB2312"/>
          <w:kern w:val="0"/>
          <w:sz w:val="32"/>
          <w:szCs w:val="32"/>
          <w:lang w:val="en-US" w:eastAsia="zh-CN" w:bidi="ar"/>
        </w:rPr>
        <w:t>土地使用权出让人、竞买人，矿业权交易出让人、受让人、竞买人和竞得人，国有资产交易主体以及交易服务机构按照土地使用权和矿业权出让、国有资产交易规程开展权益类资产交易活动。（详见附件）</w:t>
      </w:r>
    </w:p>
    <w:p w14:paraId="6113CB8D">
      <w:pPr>
        <w:keepNext w:val="0"/>
        <w:keepLines w:val="0"/>
        <w:widowControl/>
        <w:suppressLineNumbers w:val="0"/>
        <w:autoSpaceDE w:val="0"/>
        <w:autoSpaceDN/>
        <w:spacing w:before="0" w:beforeAutospacing="1" w:after="0" w:afterAutospacing="1" w:line="560" w:lineRule="atLeast"/>
        <w:ind w:left="0" w:right="0" w:firstLine="640"/>
        <w:jc w:val="both"/>
      </w:pPr>
      <w:r>
        <w:rPr>
          <w:rFonts w:hint="default" w:ascii="仿宋_GB2312" w:hAnsi="方正小标宋简体" w:eastAsia="仿宋_GB2312" w:cs="仿宋_GB2312"/>
          <w:kern w:val="0"/>
          <w:sz w:val="32"/>
          <w:szCs w:val="32"/>
          <w:lang w:val="en-US" w:eastAsia="zh-CN" w:bidi="ar"/>
        </w:rPr>
        <w:t>省政务服务和数字化局、省财政厅、省自然资源厅、省国资委结合实际，依据部门职责，共同研究制定对应领域交易管理实施办法。</w:t>
      </w:r>
    </w:p>
    <w:p w14:paraId="24F0A70A">
      <w:pPr>
        <w:keepNext w:val="0"/>
        <w:keepLines w:val="0"/>
        <w:widowControl/>
        <w:suppressLineNumbers w:val="0"/>
        <w:autoSpaceDE w:val="0"/>
        <w:autoSpaceDN/>
        <w:spacing w:before="0" w:beforeAutospacing="1" w:after="0" w:afterAutospacing="1" w:line="560" w:lineRule="atLeast"/>
        <w:ind w:left="0" w:right="0" w:firstLine="640"/>
        <w:jc w:val="both"/>
      </w:pPr>
      <w:r>
        <w:rPr>
          <w:rFonts w:hint="eastAsia" w:ascii="黑体" w:hAnsi="宋体" w:eastAsia="黑体" w:cs="黑体"/>
          <w:kern w:val="0"/>
          <w:sz w:val="32"/>
          <w:szCs w:val="32"/>
          <w:lang w:val="en-US" w:eastAsia="zh-CN" w:bidi="ar"/>
        </w:rPr>
        <w:t>四、全程电子化保障措施</w:t>
      </w:r>
    </w:p>
    <w:p w14:paraId="37614631">
      <w:pPr>
        <w:keepNext w:val="0"/>
        <w:keepLines w:val="0"/>
        <w:widowControl/>
        <w:suppressLineNumbers w:val="0"/>
        <w:autoSpaceDE w:val="0"/>
        <w:autoSpaceDN/>
        <w:spacing w:before="0" w:beforeAutospacing="1" w:after="0" w:afterAutospacing="1" w:line="560" w:lineRule="atLeast"/>
        <w:ind w:left="0" w:right="0"/>
        <w:jc w:val="both"/>
      </w:pPr>
      <w:r>
        <w:rPr>
          <w:rFonts w:hint="default" w:ascii="仿宋_GB2312" w:hAnsi="方正小标宋简体" w:eastAsia="仿宋_GB2312" w:cs="仿宋_GB2312"/>
          <w:kern w:val="0"/>
          <w:sz w:val="32"/>
          <w:szCs w:val="32"/>
          <w:lang w:val="en-US" w:eastAsia="zh-CN" w:bidi="ar"/>
        </w:rPr>
        <w:t>   （一）由省政务服务和数字化局牵头，建立与省财政厅、省自然资源厅和省国资委联动机制，及时掌握解决各地在交易活动中遇到的情况和问题，政策业务问题由省级行政监督管理部门依照职责把关，系统技术问题由省政务服务和数字化局及时解决，有力保障土地使用权和矿业权出让、国有资产交易在一体化平台规范、高效开展。</w:t>
      </w:r>
    </w:p>
    <w:p w14:paraId="424FD262">
      <w:pPr>
        <w:keepNext w:val="0"/>
        <w:keepLines w:val="0"/>
        <w:widowControl/>
        <w:suppressLineNumbers w:val="0"/>
        <w:autoSpaceDE w:val="0"/>
        <w:autoSpaceDN/>
        <w:spacing w:before="0" w:beforeAutospacing="1" w:after="0" w:afterAutospacing="1" w:line="560" w:lineRule="atLeast"/>
        <w:ind w:left="0" w:right="0" w:firstLine="480"/>
        <w:jc w:val="both"/>
      </w:pPr>
      <w:r>
        <w:rPr>
          <w:rFonts w:hint="default" w:ascii="仿宋_GB2312" w:hAnsi="方正小标宋简体" w:eastAsia="仿宋_GB2312" w:cs="仿宋_GB2312"/>
          <w:kern w:val="0"/>
          <w:sz w:val="32"/>
          <w:szCs w:val="32"/>
          <w:lang w:val="en-US" w:eastAsia="zh-CN" w:bidi="ar"/>
        </w:rPr>
        <w:t>（二）各级政务服务和数字化建设、财政、自然资源和国有资产监督管理部门要加强对本地土地使用权和矿业权出让、国有资产交易全程电子化调查研究和业务指导，形成工作清单，及时向省级对口主管部门反映交易运行情况，提出工作建议，确保土地使用权和矿业权出让、国有资产交易在一体化平台高质量运行。</w:t>
      </w:r>
    </w:p>
    <w:p w14:paraId="3A0A2A48">
      <w:pPr>
        <w:keepNext w:val="0"/>
        <w:keepLines w:val="0"/>
        <w:widowControl/>
        <w:suppressLineNumbers w:val="0"/>
        <w:autoSpaceDE w:val="0"/>
        <w:autoSpaceDN/>
        <w:spacing w:before="0" w:beforeAutospacing="1" w:after="0" w:afterAutospacing="1" w:line="560" w:lineRule="atLeast"/>
        <w:ind w:left="0" w:right="-88" w:firstLine="640"/>
        <w:jc w:val="both"/>
      </w:pPr>
      <w:r>
        <w:rPr>
          <w:rFonts w:hint="default" w:ascii="仿宋_GB2312" w:hAnsi="方正小标宋简体" w:eastAsia="仿宋_GB2312" w:cs="仿宋_GB2312"/>
          <w:kern w:val="0"/>
          <w:sz w:val="32"/>
          <w:szCs w:val="32"/>
          <w:lang w:val="en-US" w:eastAsia="zh-CN" w:bidi="ar"/>
        </w:rPr>
        <w:t>（三）出让人、受让人、竞买人、竞得人和国有资产交易主体以及交易服务机构要密切关注交易系统运行情况，及时向省政务服务和数字化局反馈报告交易活动中遇到的技术障碍，以便有针对性地及时优化一体化平台交易系统功能，更加方便出让人、受让人、竞买人、竞得人和国有资产交易主体以及交易服务机构高效快捷开展交易活动。</w:t>
      </w:r>
    </w:p>
    <w:p w14:paraId="6337A089">
      <w:pPr>
        <w:keepNext w:val="0"/>
        <w:keepLines w:val="0"/>
        <w:widowControl/>
        <w:suppressLineNumbers w:val="0"/>
        <w:autoSpaceDE w:val="0"/>
        <w:autoSpaceDN/>
        <w:spacing w:before="0" w:beforeAutospacing="1" w:after="0" w:afterAutospacing="1" w:line="560" w:lineRule="atLeast"/>
        <w:ind w:left="0" w:right="0" w:firstLine="640"/>
        <w:jc w:val="both"/>
      </w:pPr>
      <w:r>
        <w:rPr>
          <w:rFonts w:hint="default" w:ascii="仿宋_GB2312" w:hAnsi="方正小标宋简体" w:eastAsia="仿宋_GB2312" w:cs="仿宋_GB2312"/>
          <w:kern w:val="0"/>
          <w:sz w:val="32"/>
          <w:szCs w:val="32"/>
          <w:lang w:val="en-US" w:eastAsia="zh-CN" w:bidi="ar"/>
        </w:rPr>
        <w:t> </w:t>
      </w:r>
    </w:p>
    <w:p w14:paraId="09B88F00">
      <w:pPr>
        <w:keepNext w:val="0"/>
        <w:keepLines w:val="0"/>
        <w:widowControl/>
        <w:suppressLineNumbers w:val="0"/>
        <w:autoSpaceDE w:val="0"/>
        <w:autoSpaceDN/>
        <w:spacing w:before="0" w:beforeAutospacing="1" w:after="0" w:afterAutospacing="1" w:line="560" w:lineRule="atLeast"/>
        <w:ind w:left="1888" w:right="0" w:hanging="1280"/>
        <w:jc w:val="both"/>
      </w:pPr>
      <w:r>
        <w:rPr>
          <w:rFonts w:hint="default" w:ascii="仿宋_GB2312" w:hAnsi="方正小标宋简体" w:eastAsia="仿宋_GB2312" w:cs="仿宋_GB2312"/>
          <w:kern w:val="0"/>
          <w:sz w:val="32"/>
          <w:szCs w:val="32"/>
          <w:lang w:val="en-US" w:eastAsia="zh-CN" w:bidi="ar"/>
        </w:rPr>
        <w:t>附件：1.吉林省公共资源交易一体化平台国有建设用地使用权拍卖、挂牌出让网上交易操作规程（试行）</w:t>
      </w:r>
    </w:p>
    <w:p w14:paraId="1EA09A4E">
      <w:pPr>
        <w:keepNext w:val="0"/>
        <w:keepLines w:val="0"/>
        <w:widowControl/>
        <w:suppressLineNumbers w:val="0"/>
        <w:autoSpaceDE w:val="0"/>
        <w:autoSpaceDN/>
        <w:spacing w:before="0" w:beforeAutospacing="1" w:after="0" w:afterAutospacing="1" w:line="560" w:lineRule="atLeast"/>
        <w:ind w:left="1840" w:right="0" w:hanging="320"/>
        <w:jc w:val="both"/>
      </w:pPr>
      <w:r>
        <w:rPr>
          <w:rFonts w:hint="default" w:ascii="仿宋_GB2312" w:hAnsi="方正小标宋简体" w:eastAsia="仿宋_GB2312" w:cs="仿宋_GB2312"/>
          <w:kern w:val="0"/>
          <w:sz w:val="32"/>
          <w:szCs w:val="32"/>
          <w:lang w:val="en-US" w:eastAsia="zh-CN" w:bidi="ar"/>
        </w:rPr>
        <w:t>2.吉林省公共资源交易一体化平台矿业权拍卖、挂牌出让网上交易操作规程（试行）</w:t>
      </w:r>
    </w:p>
    <w:p w14:paraId="62E29ADB">
      <w:pPr>
        <w:keepNext w:val="0"/>
        <w:keepLines w:val="0"/>
        <w:widowControl/>
        <w:suppressLineNumbers w:val="0"/>
        <w:autoSpaceDE w:val="0"/>
        <w:autoSpaceDN/>
        <w:spacing w:before="0" w:beforeAutospacing="1" w:after="0" w:afterAutospacing="1" w:line="560" w:lineRule="atLeast"/>
        <w:ind w:left="1840" w:right="0" w:hanging="320"/>
        <w:jc w:val="both"/>
      </w:pPr>
      <w:r>
        <w:rPr>
          <w:rFonts w:hint="default" w:ascii="仿宋_GB2312" w:hAnsi="方正小标宋简体" w:eastAsia="仿宋_GB2312" w:cs="仿宋_GB2312"/>
          <w:kern w:val="0"/>
          <w:sz w:val="32"/>
          <w:szCs w:val="32"/>
          <w:lang w:val="en-US" w:eastAsia="zh-CN" w:bidi="ar"/>
        </w:rPr>
        <w:t>3.吉林省公共资源交易一体化平台国有资产交易操作规程（试行）</w:t>
      </w:r>
    </w:p>
    <w:p w14:paraId="44CD912C">
      <w:pPr>
        <w:keepNext w:val="0"/>
        <w:keepLines w:val="0"/>
        <w:widowControl/>
        <w:suppressLineNumbers w:val="0"/>
        <w:autoSpaceDE w:val="0"/>
        <w:autoSpaceDN/>
        <w:spacing w:before="0" w:beforeAutospacing="1" w:after="0" w:afterAutospacing="1" w:line="240" w:lineRule="atLeast"/>
        <w:ind w:left="0" w:right="0"/>
        <w:jc w:val="both"/>
      </w:pPr>
      <w:r>
        <w:rPr>
          <w:rFonts w:hint="default" w:ascii="仿宋_GB2312" w:hAnsi="方正小标宋简体" w:eastAsia="仿宋_GB2312" w:cs="仿宋_GB2312"/>
          <w:kern w:val="0"/>
          <w:sz w:val="32"/>
          <w:szCs w:val="32"/>
          <w:shd w:val="clear" w:fill="FFFFFF"/>
          <w:lang w:val="en-US" w:eastAsia="zh-CN" w:bidi="ar"/>
        </w:rPr>
        <w:t> </w:t>
      </w:r>
    </w:p>
    <w:p w14:paraId="25171A3B">
      <w:pPr>
        <w:keepNext w:val="0"/>
        <w:keepLines w:val="0"/>
        <w:widowControl/>
        <w:suppressLineNumbers w:val="0"/>
        <w:autoSpaceDE w:val="0"/>
        <w:autoSpaceDN/>
        <w:spacing w:before="0" w:beforeAutospacing="1" w:after="0" w:afterAutospacing="1" w:line="600" w:lineRule="atLeast"/>
        <w:ind w:left="0" w:right="0"/>
        <w:jc w:val="both"/>
      </w:pPr>
      <w:r>
        <w:rPr>
          <w:rFonts w:hint="default" w:ascii="方正小标宋简体" w:hAnsi="方正小标宋简体" w:eastAsia="方正小标宋简体" w:cs="方正小标宋简体"/>
          <w:kern w:val="0"/>
          <w:sz w:val="24"/>
          <w:szCs w:val="24"/>
          <w:lang w:val="en-US" w:eastAsia="zh-CN" w:bidi="ar"/>
        </w:rPr>
        <w:drawing>
          <wp:inline distT="0" distB="0" distL="114300" distR="114300">
            <wp:extent cx="1800225" cy="18288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800225" cy="1828800"/>
                    </a:xfrm>
                    <a:prstGeom prst="rect">
                      <a:avLst/>
                    </a:prstGeom>
                    <a:noFill/>
                    <a:ln w="9525">
                      <a:noFill/>
                    </a:ln>
                  </pic:spPr>
                </pic:pic>
              </a:graphicData>
            </a:graphic>
          </wp:inline>
        </w:drawing>
      </w:r>
      <w:r>
        <w:rPr>
          <w:rFonts w:hint="default" w:ascii="方正小标宋简体" w:hAnsi="方正小标宋简体" w:eastAsia="方正小标宋简体" w:cs="方正小标宋简体"/>
          <w:kern w:val="0"/>
          <w:sz w:val="24"/>
          <w:szCs w:val="24"/>
          <w:lang w:val="en-US" w:eastAsia="zh-CN" w:bidi="ar"/>
        </w:rPr>
        <w:drawing>
          <wp:inline distT="0" distB="0" distL="114300" distR="114300">
            <wp:extent cx="1724025" cy="1733550"/>
            <wp:effectExtent l="0" t="0" r="9525"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1724025" cy="1733550"/>
                    </a:xfrm>
                    <a:prstGeom prst="rect">
                      <a:avLst/>
                    </a:prstGeom>
                    <a:noFill/>
                    <a:ln w="9525">
                      <a:noFill/>
                    </a:ln>
                  </pic:spPr>
                </pic:pic>
              </a:graphicData>
            </a:graphic>
          </wp:inline>
        </w:drawing>
      </w:r>
      <w:r>
        <w:rPr>
          <w:rFonts w:hint="default" w:ascii="仿宋_GB2312" w:hAnsi="方正小标宋简体" w:eastAsia="仿宋_GB2312" w:cs="仿宋_GB2312"/>
          <w:kern w:val="0"/>
          <w:sz w:val="32"/>
          <w:szCs w:val="32"/>
          <w:shd w:val="clear" w:fill="FFFFFF"/>
          <w:lang w:val="en-US" w:eastAsia="zh-CN" w:bidi="ar"/>
        </w:rPr>
        <w:t> </w:t>
      </w:r>
    </w:p>
    <w:p w14:paraId="06AA4182">
      <w:pPr>
        <w:keepNext w:val="0"/>
        <w:keepLines w:val="0"/>
        <w:widowControl/>
        <w:suppressLineNumbers w:val="0"/>
        <w:autoSpaceDE w:val="0"/>
        <w:autoSpaceDN/>
        <w:spacing w:before="0" w:beforeAutospacing="1" w:after="0" w:afterAutospacing="1" w:line="600" w:lineRule="atLeast"/>
        <w:ind w:left="0" w:right="0"/>
        <w:jc w:val="both"/>
      </w:pPr>
      <w:r>
        <w:rPr>
          <w:rFonts w:hint="default" w:ascii="仿宋_GB2312" w:hAnsi="方正小标宋简体" w:eastAsia="仿宋_GB2312" w:cs="仿宋_GB2312"/>
          <w:spacing w:val="-20"/>
          <w:kern w:val="0"/>
          <w:sz w:val="32"/>
          <w:szCs w:val="32"/>
          <w:shd w:val="clear" w:fill="FFFFFF"/>
          <w:lang w:val="en-US" w:eastAsia="zh-CN" w:bidi="ar"/>
        </w:rPr>
        <w:t> </w:t>
      </w:r>
    </w:p>
    <w:p w14:paraId="3A0D6FA0">
      <w:pPr>
        <w:keepNext w:val="0"/>
        <w:keepLines w:val="0"/>
        <w:widowControl/>
        <w:suppressLineNumbers w:val="0"/>
        <w:autoSpaceDE w:val="0"/>
        <w:autoSpaceDN/>
        <w:spacing w:before="0" w:beforeAutospacing="1" w:after="0" w:afterAutospacing="1" w:line="600" w:lineRule="atLeast"/>
        <w:ind w:left="0" w:right="0" w:firstLine="280"/>
        <w:jc w:val="both"/>
      </w:pPr>
      <w:r>
        <w:rPr>
          <w:rFonts w:hint="default" w:ascii="仿宋_GB2312" w:hAnsi="方正小标宋简体" w:eastAsia="仿宋_GB2312" w:cs="仿宋_GB2312"/>
          <w:spacing w:val="-20"/>
          <w:kern w:val="0"/>
          <w:sz w:val="32"/>
          <w:szCs w:val="32"/>
          <w:shd w:val="clear" w:fill="FFFFFF"/>
          <w:lang w:val="en-US" w:eastAsia="zh-CN" w:bidi="ar"/>
        </w:rPr>
        <w:t>吉林省政务服务和数字化建设管理局     </w:t>
      </w:r>
      <w:r>
        <w:rPr>
          <w:rFonts w:hint="default" w:ascii="仿宋_GB2312" w:hAnsi="方正小标宋简体" w:eastAsia="仿宋_GB2312" w:cs="仿宋_GB2312"/>
          <w:spacing w:val="-23"/>
          <w:kern w:val="0"/>
          <w:sz w:val="32"/>
          <w:szCs w:val="32"/>
          <w:shd w:val="clear" w:fill="FFFFFF"/>
          <w:lang w:val="en-US" w:eastAsia="zh-CN" w:bidi="ar"/>
        </w:rPr>
        <w:t>吉林省财政厅  </w:t>
      </w:r>
    </w:p>
    <w:p w14:paraId="35B9DC59">
      <w:pPr>
        <w:keepNext w:val="0"/>
        <w:keepLines w:val="0"/>
        <w:widowControl/>
        <w:suppressLineNumbers w:val="0"/>
        <w:autoSpaceDE w:val="0"/>
        <w:autoSpaceDN/>
        <w:spacing w:before="0" w:beforeAutospacing="1" w:after="0" w:afterAutospacing="1" w:line="600" w:lineRule="atLeast"/>
        <w:ind w:left="0" w:right="0"/>
        <w:jc w:val="both"/>
      </w:pPr>
      <w:r>
        <w:rPr>
          <w:rFonts w:hint="default" w:ascii="仿宋_GB2312" w:hAnsi="方正小标宋简体" w:eastAsia="仿宋_GB2312" w:cs="仿宋_GB2312"/>
          <w:spacing w:val="-20"/>
          <w:kern w:val="0"/>
          <w:sz w:val="32"/>
          <w:szCs w:val="32"/>
          <w:shd w:val="clear" w:fill="FFFFFF"/>
          <w:lang w:val="en-US" w:eastAsia="zh-CN" w:bidi="ar"/>
        </w:rPr>
        <w:t> </w:t>
      </w:r>
    </w:p>
    <w:p w14:paraId="108D23A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82649"/>
    <w:rsid w:val="72A82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2025-12-31T00:56:00Z</dcterms:created>
  <dc:creator>Administrator</dc:creator>
  <cp:lastModifiedBy>Administrator</cp:lastModifiedBy>
  <dcterms:modified xsi:type="dcterms:W3CDTF">2025-12-31T01:14:21Z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E6EBB0EA68224D2C80DA40FAB7CA4436_11</vt:lpwstr>
  </property>
  <property fmtid="{D5CDD505-2E9C-101B-9397-08002B2CF9AE}" pid="4" name="KSOTemplateDocerSaveRecord">
    <vt:lpwstr>eyJoZGlkIjoiZmRjNDI4YWNkNzcyZTcyMWQ4ODk2NGU1Mzg3ZDkyZGQiLCJ1c2VySWQiOiI0NTc1MDQyNTEifQ==</vt:lpwstr>
  </property>
</Properties>
</file>